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Mara Kieselwind · Privater Alltag und Reise</w:t>
      </w:r>
    </w:p>
    <w:p>
      <w:r>
        <w:t xml:space="preserve">Wenige verstreute Informationen zu einer Reise und einer kleinen Reparatur erinnern; persönliche und gemeinsame Zusagen auseinanderhalten.</w:t>
      </w:r>
    </w:p>
    <w:p>
      <w:r>
        <w:t xml:space="preserve">Eine abgesagte Reise darf keine Reparaturaufgabe schließen.</w:t>
      </w:r>
    </w:p>
    <w:p>
      <w:r>
        <w:t xml:space="preserve">Reise: Herbstreise Nebelsee. Anreise mit dem Zug; die letzte Verbindung am Samstag fährt um 18:42 Uhr.</w:t>
      </w:r>
    </w:p>
    <w:p>
      <w:r>
        <w:t xml:space="preserve">Fahrrad: Kupferfuchs. Rahmennummer REF-BIKE-014; nur das Vorderlicht flackert, das Rücklicht funktioniert.</w:t>
      </w:r>
    </w:p>
    <w:p>
      <w:r>
        <w:t xml:space="preserve">Unterkunft: Haus Kieselstern. Adresse: Wolkenpfad 17, Neustadt; Schlüsselabholung an der Seitentür.</w:t>
      </w:r>
    </w:p>
    <w:p>
      <w:r>
        <w:t xml:space="preserve">Ort: Café Papiermond. Stand 2026-09-10: Empfehlung für Frühstück; noch kein aktueller Öffnungsnachweis.</w:t>
      </w:r>
    </w:p>
    <w:p>
      <w:r>
        <w:t xml:space="preserve">Budget: Reisekasse. Maximal 240,00 EUR für zwei Nächte; Zugtickets sind separat.</w:t>
      </w:r>
    </w:p>
    <w:p>
      <w:r>
        <w:t xml:space="preserve">Vorliebe: Reisevorlieben. Fensterplatz bevorzugt, aber keine automatische Sitzplatzbuchung.</w:t>
      </w:r>
    </w:p>
    <w:p>
      <w:r>
        <w:t xml:space="preserve">Der Reiseplan nennt zunächst zwei Personen. Robin fragt später nach einer dritten; Mara sagt nur, dass sie erst nachfragen muss.</w:t>
      </w:r>
    </w:p>
    <w:p>
      <w:r>
        <w:t xml:space="preserve">Ein Foto des Vorderlichts fehlt. Tessa kann ohne Foto keinen passenden Stecker bestätigen.</w:t>
      </w:r>
    </w:p>
    <w:p>
      <w:r>
        <w:t xml:space="preserve">Mara entfernt die Café-Empfehlung einmal aus einer Nachricht, weil die Nachricht schon lang ist; daraus folgt keine dauerhafte Ablehnung.</w:t>
      </w:r>
    </w:p>
    <w:sectPr/>
  </w:body>
</w:document>
</file>