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Emil Kupferhain · Digitalagentur Projektleitung</w:t>
      </w:r>
    </w:p>
    <w:p>
      <w:r>
        <w:t xml:space="preserve">Mehrere Kundenprojekte, Abnahmen, Änderungswünsche und Status aus vielen Quellen zusammenführen.</w:t>
      </w:r>
    </w:p>
    <w:p>
      <w:r>
        <w:t xml:space="preserve">Gleiches Kürzel und gleicher Vorname sind keine ausreichenden Identitätsmerkmale.</w:t>
      </w:r>
    </w:p>
    <w:p>
      <w:r>
        <w:t xml:space="preserve">Kunde: Aster Nord Genossenschaft. Kunde des Nord-Portals; kein organisatorischer Bezug zum Süd-Portal.</w:t>
      </w:r>
    </w:p>
    <w:p>
      <w:r>
        <w:t xml:space="preserve">Kunde: Aster Süd Verein. Eigener Vertrag und Freigabekreis; gleicher Projektkurzname Portal Aster.</w:t>
      </w:r>
    </w:p>
    <w:p>
      <w:r>
        <w:t xml:space="preserve">System: Nord Staging. Release NS-204; Datenstand 2026-10-01, kein Produktivsystem.</w:t>
      </w:r>
    </w:p>
    <w:p>
      <w:r>
        <w:t xml:space="preserve">Ort: Café Papiermond. Alte Retrospektiven-Empfehlung, Öffnung unbekannt.</w:t>
      </w:r>
    </w:p>
    <w:p>
      <w:r>
        <w:t xml:space="preserve">Vertrag: Nord Änderungsbudget. 18 Stunden zu 112,50 EUR netto; Änderungen darüber müssen erneut angeboten werden.</w:t>
      </w:r>
    </w:p>
    <w:p>
      <w:r>
        <w:t xml:space="preserve">Risiko: Cookie-Einwilligung. Abnahme des Designs bestätigt nicht die technische Einwilligungsfunktion.</w:t>
      </w:r>
    </w:p>
    <w:p>
      <w:r>
        <w:t xml:space="preserve">Im Nord-Thread ist der Login fertig, im Süd-Thread fehlt noch die Passwort-Rücksetzung. Beides trägt im Chat die Kurzform Login.</w:t>
      </w:r>
    </w:p>
    <w:p>
      <w:r>
        <w:t xml:space="preserve">Der Kunde verschiebt das Review von Dienstag auf Donnerstag. Der alte Termin bleibt als abgesagt in einer Mail enthalten.</w:t>
      </w:r>
    </w:p>
    <w:p>
      <w:r>
        <w:t xml:space="preserve">Eine neue Drive-Datei ergänzt den Vertrag um einen Ansprechpartner; sie darf kein zweites Kundenprofil erzeugen.</w:t>
      </w:r>
    </w:p>
    <w:sectPr/>
  </w:body>
</w:document>
</file>