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Lina Federstrom · SaaS Support Lead</w:t>
      </w:r>
    </w:p>
    <w:p>
      <w:r>
        <w:t xml:space="preserve">Sehr viele Routinekontakte, wenige dauerhafte Produktregeln, Eskalationen und echte Ausnahmen unterscheiden.</w:t>
      </w:r>
    </w:p>
    <w:p>
      <w:r>
        <w:t xml:space="preserve">Tausende gelöste Tickets sollen keine Tausende dauerhaften Personen-Seiten erzwingen.</w:t>
      </w:r>
    </w:p>
    <w:p>
      <w:r>
        <w:t xml:space="preserve">Produkt: Beacon Workspace. SaaS; Export und Mobile Login haben unabhängige Releases.</w:t>
      </w:r>
    </w:p>
    <w:p>
      <w:r>
        <w:t xml:space="preserve">Fehler: EXP-482. CSV-Export über 50.000 Zeilen kann abbrechen; Workaround in Batches von 10.000.</w:t>
      </w:r>
    </w:p>
    <w:p>
      <w:r>
        <w:t xml:space="preserve">Servicelevel: Support Plus. Erste qualifizierte Antwort innerhalb 4 Geschäftsstunden, keine garantierte Lösungszeit.</w:t>
      </w:r>
    </w:p>
    <w:p>
      <w:r>
        <w:t xml:space="preserve">Ort: Café Papiermond. Historischer Ort für Teammeeting, keine aktuelle Empfehlung.</w:t>
      </w:r>
    </w:p>
    <w:p>
      <w:r>
        <w:t xml:space="preserve">Release: Beacon 6.14. Fix für EXP-482 nur im Web, Mobile 6.13 bleibt unverändert.</w:t>
      </w:r>
    </w:p>
    <w:p>
      <w:r>
        <w:t xml:space="preserve">Richtlinie: Kulanz. Ein einmaliger 15-%-Nachlass für Ticket REF-884 gilt nicht allgemein.</w:t>
      </w:r>
    </w:p>
    <w:p>
      <w:r>
        <w:t xml:space="preserve">A customer says it works now after a smaller export; this is not proof that the product defect is fixed for everyone.</w:t>
      </w:r>
    </w:p>
    <w:p>
      <w:r>
        <w:t xml:space="preserve">Internal engineering says patch ready; Support still waits for a public release number before promising availability.</w:t>
      </w:r>
    </w:p>
    <w:p>
      <w:r>
        <w:t xml:space="preserve">The customer deletes a suggested workaround because they already tried it. This should inform the current case, not ban that workaround globally.</w:t>
      </w:r>
    </w:p>
    <w:sectPr/>
  </w:body>
</w:document>
</file>