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Paula Kieselhorst · Bauprojektkoordination</w:t>
      </w:r>
    </w:p>
    <w:p>
      <w:r>
        <w:t xml:space="preserve">Mängel, Pläne, Lieferungen und Freigaben je Bauteil und Bauabschnitt zuordnen.</w:t>
      </w:r>
    </w:p>
    <w:p>
      <w:r>
        <w:t xml:space="preserve">Gleichnamige Bauteile brauchen Gebäudezuordnung; Angebot ist keine Beauftragung.</w:t>
      </w:r>
    </w:p>
    <w:p>
      <w:r>
        <w:t xml:space="preserve">Bauteil: Haus A Tür T-14. Lichte Breite 90 cm, Anschlag links; Planrevision R6.</w:t>
      </w:r>
    </w:p>
    <w:p>
      <w:r>
        <w:t xml:space="preserve">Bauteil: Haus B Tür T-14. Lichte Breite 100 cm, Anschlag rechts; gleiche Türnummer in anderem Haus.</w:t>
      </w:r>
    </w:p>
    <w:p>
      <w:r>
        <w:t xml:space="preserve">Mangel: A-M-208. Dichtung an T-14 fehlt; Fotoabnahme noch ausständig.</w:t>
      </w:r>
    </w:p>
    <w:p>
      <w:r>
        <w:t xml:space="preserve">Lieferung: REF-LF-902. Anlieferung 2026-11-02 zwischen 07:00 und 09:00, Zufahrt über Lindengasse 18.</w:t>
      </w:r>
    </w:p>
    <w:p>
      <w:r>
        <w:t xml:space="preserve">Plan: Lindenbogen R6. Ersetzt R5 ausschließlich für Haus A; Haus B bleibt bei R4.</w:t>
      </w:r>
    </w:p>
    <w:p>
      <w:r>
        <w:t xml:space="preserve">Budget: Nachtrag N-07. 3.480,00 EUR netto angeboten, noch nicht beauftragt.</w:t>
      </w:r>
    </w:p>
    <w:p>
      <w:r>
        <w:t xml:space="preserve">Passt bestätigt die Farbe, nicht den offenen Nachtrag. Im Chat stehen beide Themen direkt hintereinander.</w:t>
      </w:r>
    </w:p>
    <w:p>
      <w:r>
        <w:t xml:space="preserve">Ein Foto zeigt T-14 ohne Hausangabe. Die Zuordnung bleibt unsicher, bis Chris aus Haus A antwortet.</w:t>
      </w:r>
    </w:p>
    <w:p>
      <w:r>
        <w:t xml:space="preserve">Die Lieferzeit ändert sich; die alte PDF bleibt als historische Version vorhanden.</w:t>
      </w:r>
    </w:p>
    <w:sectPr/>
  </w:body>
</w:document>
</file>