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Vera Eisfeder · Rechtskanzlei Organisation</w:t>
      </w:r>
    </w:p>
    <w:p>
      <w:r>
        <w:t xml:space="preserve">Aktenorganisation, Fristen und Dokumentversionen; keine echte Rechtsberatung.</w:t>
      </w:r>
    </w:p>
    <w:p>
      <w:r>
        <w:t xml:space="preserve">Ja zur Vollständigkeit der Anlagen ist keine Freigabe zum Versand.</w:t>
      </w:r>
    </w:p>
    <w:p>
      <w:r>
        <w:t xml:space="preserve">Akte: Linden 41. Akte REF-L-41; keine echten Mandanten oder Rechtsfälle.</w:t>
      </w:r>
    </w:p>
    <w:p>
      <w:r>
        <w:t xml:space="preserve">Frist: L41 interne Prüfung. Interne Testfrist 2026-11-10 12:00; keine gerichtlich gesetzte Frist.</w:t>
      </w:r>
    </w:p>
    <w:p>
      <w:r>
        <w:t xml:space="preserve">Dokument: L41 Entwurf D4. Ersetzt D3, noch nicht freigegeben und nicht versendet.</w:t>
      </w:r>
    </w:p>
    <w:p>
      <w:r>
        <w:t xml:space="preserve">Akte: Linden 42. Eigenständige Akte REF-L-42, gleicher Kurzname Linden.</w:t>
      </w:r>
    </w:p>
    <w:p>
      <w:r>
        <w:t xml:space="preserve">Ablauf: Vier-Augen-Prüfung. Versand erst nach expliziter Freigabe; Kenntnisnahme reicht nicht.</w:t>
      </w:r>
    </w:p>
    <w:p>
      <w:r>
        <w:t xml:space="preserve">Ort: Besprechungsraum Nord. Raum, Eingang Birkenhof 5, zweite Etage.</w:t>
      </w:r>
    </w:p>
    <w:p>
      <w:r>
        <w:t xml:space="preserve">Ein zitierter Entwurf enthält die Worte hiermit genehmigt. Das ist Vertragswortlaut, keine aktuelle Entscheidung.</w:t>
      </w:r>
    </w:p>
    <w:p>
      <w:r>
        <w:t xml:space="preserve">Die interne Wiedervorlage wird verschoben; eine andere ausdrücklich festgesetzte Testfrist bleibt bestehen.</w:t>
      </w:r>
    </w:p>
    <w:p>
      <w:r>
        <w:t xml:space="preserve">Ein Kontaktwechsel darf die Aktennummer nicht verändern und keine neue Akte erzeugen.</w:t>
      </w:r>
    </w:p>
    <w:sectPr/>
  </w:body>
</w:document>
</file>